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5CF9F284" w:rsidR="00BA507B" w:rsidRPr="00911C15"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911C15" w:rsidRPr="00911C15">
        <w:rPr>
          <w:rFonts w:ascii="Times New Roman" w:hAnsi="Times New Roman" w:cs="Times New Roman"/>
          <w:sz w:val="24"/>
          <w:szCs w:val="24"/>
        </w:rPr>
        <w:t>Mildred Anaele</w:t>
      </w:r>
      <w:r w:rsidRPr="00911C15">
        <w:rPr>
          <w:rFonts w:ascii="Times New Roman" w:eastAsia="Times New Roman" w:hAnsi="Times New Roman" w:cs="Times New Roman"/>
          <w:sz w:val="24"/>
          <w:szCs w:val="24"/>
        </w:rPr>
        <w:t xml:space="preserve">, </w:t>
      </w:r>
      <w:r w:rsidR="00911C15" w:rsidRPr="00911C15">
        <w:rPr>
          <w:rFonts w:ascii="Times New Roman" w:eastAsia="Times New Roman" w:hAnsi="Times New Roman" w:cs="Baskerville Old Face"/>
          <w:sz w:val="24"/>
          <w:szCs w:val="24"/>
        </w:rPr>
        <w:t>Attorney</w:t>
      </w:r>
    </w:p>
    <w:p w14:paraId="43DBA660" w14:textId="4BFAD53F" w:rsidR="00BA507B" w:rsidRPr="00911C15" w:rsidRDefault="00911C15" w:rsidP="00BA507B">
      <w:pPr>
        <w:ind w:left="720" w:firstLine="720"/>
        <w:jc w:val="both"/>
        <w:rPr>
          <w:rFonts w:ascii="Times New Roman" w:hAnsi="Times New Roman" w:cs="Times New Roman"/>
          <w:sz w:val="24"/>
          <w:szCs w:val="24"/>
        </w:rPr>
      </w:pPr>
      <w:r w:rsidRPr="00911C15">
        <w:rPr>
          <w:rFonts w:ascii="Times New Roman" w:eastAsia="Times New Roman" w:hAnsi="Times New Roman" w:cs="Times New Roman"/>
          <w:sz w:val="24"/>
          <w:szCs w:val="24"/>
        </w:rPr>
        <w:t xml:space="preserve">Legal </w:t>
      </w:r>
      <w:r w:rsidR="00BA507B" w:rsidRPr="00911C15">
        <w:rPr>
          <w:rFonts w:ascii="Times New Roman" w:eastAsia="Times New Roman" w:hAnsi="Times New Roman" w:cs="Times New Roman"/>
          <w:sz w:val="24"/>
          <w:szCs w:val="24"/>
        </w:rPr>
        <w:t>Division</w:t>
      </w:r>
    </w:p>
    <w:p w14:paraId="5C8A7F79" w14:textId="77777777" w:rsidR="00BA507B" w:rsidRPr="00911C15" w:rsidRDefault="00BA507B" w:rsidP="00BA507B">
      <w:pPr>
        <w:tabs>
          <w:tab w:val="left" w:pos="1440"/>
        </w:tabs>
        <w:jc w:val="both"/>
        <w:rPr>
          <w:rFonts w:ascii="Times New Roman" w:hAnsi="Times New Roman" w:cs="Times New Roman"/>
          <w:sz w:val="24"/>
          <w:szCs w:val="24"/>
        </w:rPr>
      </w:pPr>
    </w:p>
    <w:p w14:paraId="4849338D" w14:textId="15FC56E1" w:rsidR="00BA507B" w:rsidRPr="00911C15" w:rsidRDefault="00BA507B" w:rsidP="00BA507B">
      <w:pPr>
        <w:jc w:val="both"/>
        <w:rPr>
          <w:rFonts w:ascii="Times New Roman" w:eastAsia="Times New Roman" w:hAnsi="Times New Roman" w:cs="Baskerville Old Face"/>
          <w:b/>
          <w:bCs/>
          <w:sz w:val="24"/>
          <w:szCs w:val="24"/>
        </w:rPr>
      </w:pPr>
      <w:r w:rsidRPr="00911C15">
        <w:rPr>
          <w:rFonts w:ascii="Times New Roman" w:hAnsi="Times New Roman" w:cs="Times New Roman"/>
          <w:b/>
          <w:sz w:val="24"/>
          <w:szCs w:val="24"/>
        </w:rPr>
        <w:t>FROM:</w:t>
      </w:r>
      <w:r w:rsidRPr="00911C15">
        <w:rPr>
          <w:rFonts w:ascii="Times New Roman" w:hAnsi="Times New Roman" w:cs="Times New Roman"/>
          <w:b/>
          <w:sz w:val="24"/>
          <w:szCs w:val="24"/>
        </w:rPr>
        <w:tab/>
      </w:r>
      <w:r w:rsidR="00911C15">
        <w:rPr>
          <w:rFonts w:ascii="Times New Roman" w:hAnsi="Times New Roman" w:cs="Times New Roman"/>
          <w:bCs/>
          <w:sz w:val="24"/>
          <w:szCs w:val="24"/>
        </w:rPr>
        <w:t>Fred Bednarski III</w:t>
      </w:r>
      <w:r w:rsidRPr="00911C15">
        <w:rPr>
          <w:rFonts w:ascii="Times New Roman" w:eastAsia="Times New Roman" w:hAnsi="Times New Roman" w:cs="Baskerville Old Face"/>
          <w:bCs/>
          <w:sz w:val="24"/>
          <w:szCs w:val="24"/>
        </w:rPr>
        <w:t>,</w:t>
      </w:r>
      <w:r w:rsidRPr="00911C15">
        <w:rPr>
          <w:rFonts w:ascii="Times New Roman" w:eastAsia="Times New Roman" w:hAnsi="Times New Roman" w:cs="Baskerville Old Face"/>
          <w:sz w:val="24"/>
          <w:szCs w:val="24"/>
        </w:rPr>
        <w:t xml:space="preserve"> </w:t>
      </w:r>
      <w:bookmarkStart w:id="1" w:name="_Hlk61339093"/>
      <w:r w:rsidRPr="00911C15">
        <w:rPr>
          <w:rFonts w:ascii="Times New Roman" w:eastAsia="Times New Roman" w:hAnsi="Times New Roman" w:cs="Baskerville Old Face"/>
          <w:sz w:val="24"/>
          <w:szCs w:val="24"/>
        </w:rPr>
        <w:t>Financial Analyst</w:t>
      </w:r>
    </w:p>
    <w:bookmarkEnd w:id="1"/>
    <w:p w14:paraId="3B4B85F5" w14:textId="77777777" w:rsidR="00BA507B" w:rsidRPr="00911C15" w:rsidRDefault="00BA507B" w:rsidP="00BA507B">
      <w:pPr>
        <w:ind w:left="1440"/>
        <w:jc w:val="both"/>
        <w:rPr>
          <w:rFonts w:ascii="Times New Roman" w:eastAsia="Times New Roman" w:hAnsi="Times New Roman" w:cs="Times New Roman"/>
          <w:sz w:val="24"/>
          <w:szCs w:val="24"/>
        </w:rPr>
      </w:pPr>
      <w:r w:rsidRPr="00911C15">
        <w:rPr>
          <w:rFonts w:ascii="Times New Roman" w:eastAsia="Times New Roman" w:hAnsi="Times New Roman" w:cs="Times New Roman"/>
          <w:sz w:val="24"/>
          <w:szCs w:val="24"/>
        </w:rPr>
        <w:t>Rate Regulation Division</w:t>
      </w:r>
    </w:p>
    <w:p w14:paraId="5B5EEAC2" w14:textId="77777777" w:rsidR="00BA507B" w:rsidRPr="00911C15" w:rsidRDefault="00BA507B" w:rsidP="00BA507B">
      <w:pPr>
        <w:tabs>
          <w:tab w:val="left" w:pos="1170"/>
        </w:tabs>
        <w:jc w:val="both"/>
        <w:outlineLvl w:val="0"/>
        <w:rPr>
          <w:rFonts w:ascii="Times New Roman" w:hAnsi="Times New Roman" w:cs="Times New Roman"/>
          <w:sz w:val="24"/>
          <w:szCs w:val="24"/>
        </w:rPr>
      </w:pPr>
    </w:p>
    <w:p w14:paraId="6360FDC0" w14:textId="6B8B288A" w:rsidR="00BA507B" w:rsidRPr="00911C15" w:rsidRDefault="00BA507B" w:rsidP="00BA507B">
      <w:pPr>
        <w:tabs>
          <w:tab w:val="left" w:pos="1170"/>
        </w:tabs>
        <w:jc w:val="both"/>
        <w:rPr>
          <w:rFonts w:ascii="Times New Roman" w:hAnsi="Times New Roman" w:cs="Times New Roman"/>
          <w:bCs/>
          <w:sz w:val="24"/>
          <w:szCs w:val="24"/>
        </w:rPr>
      </w:pPr>
      <w:r w:rsidRPr="00911C15">
        <w:rPr>
          <w:rFonts w:ascii="Times New Roman" w:hAnsi="Times New Roman" w:cs="Times New Roman"/>
          <w:b/>
          <w:sz w:val="24"/>
          <w:szCs w:val="24"/>
        </w:rPr>
        <w:t>DATE:</w:t>
      </w:r>
      <w:r w:rsidRPr="00911C15">
        <w:rPr>
          <w:rFonts w:ascii="Times New Roman" w:hAnsi="Times New Roman" w:cs="Times New Roman"/>
          <w:b/>
          <w:sz w:val="24"/>
          <w:szCs w:val="24"/>
        </w:rPr>
        <w:tab/>
      </w:r>
      <w:r w:rsidRPr="00911C15">
        <w:rPr>
          <w:rFonts w:ascii="Times New Roman" w:hAnsi="Times New Roman" w:cs="Times New Roman"/>
          <w:b/>
          <w:sz w:val="24"/>
          <w:szCs w:val="24"/>
        </w:rPr>
        <w:tab/>
      </w:r>
      <w:r w:rsidR="00850760">
        <w:rPr>
          <w:rFonts w:ascii="Times New Roman" w:hAnsi="Times New Roman" w:cs="Times New Roman"/>
          <w:bCs/>
          <w:sz w:val="24"/>
          <w:szCs w:val="24"/>
        </w:rPr>
        <w:t>March</w:t>
      </w:r>
      <w:r w:rsidRPr="00911C15">
        <w:rPr>
          <w:rFonts w:ascii="Times New Roman" w:hAnsi="Times New Roman" w:cs="Times New Roman"/>
          <w:bCs/>
          <w:sz w:val="24"/>
          <w:szCs w:val="24"/>
        </w:rPr>
        <w:t xml:space="preserve"> </w:t>
      </w:r>
      <w:r w:rsidR="00911C15">
        <w:rPr>
          <w:rFonts w:ascii="Times New Roman" w:hAnsi="Times New Roman" w:cs="Times New Roman"/>
          <w:bCs/>
          <w:sz w:val="24"/>
          <w:szCs w:val="24"/>
        </w:rPr>
        <w:t>1</w:t>
      </w:r>
      <w:r w:rsidR="00850760">
        <w:rPr>
          <w:rFonts w:ascii="Times New Roman" w:hAnsi="Times New Roman" w:cs="Times New Roman"/>
          <w:bCs/>
          <w:sz w:val="24"/>
          <w:szCs w:val="24"/>
        </w:rPr>
        <w:t>6</w:t>
      </w:r>
      <w:r w:rsidRPr="00911C15">
        <w:rPr>
          <w:rFonts w:ascii="Times New Roman" w:hAnsi="Times New Roman" w:cs="Times New Roman"/>
          <w:bCs/>
          <w:sz w:val="24"/>
          <w:szCs w:val="24"/>
        </w:rPr>
        <w:t xml:space="preserve">, </w:t>
      </w:r>
      <w:r w:rsidR="00911C15">
        <w:rPr>
          <w:rFonts w:ascii="Times New Roman" w:hAnsi="Times New Roman" w:cs="Times New Roman"/>
          <w:bCs/>
          <w:sz w:val="24"/>
          <w:szCs w:val="24"/>
        </w:rPr>
        <w:t>2022</w:t>
      </w:r>
    </w:p>
    <w:p w14:paraId="1AF39076" w14:textId="77777777" w:rsidR="00BA507B" w:rsidRPr="00D240D8" w:rsidRDefault="00BA507B" w:rsidP="00BA507B">
      <w:pPr>
        <w:tabs>
          <w:tab w:val="left" w:pos="1170"/>
        </w:tabs>
        <w:jc w:val="both"/>
        <w:rPr>
          <w:rFonts w:ascii="Times New Roman" w:hAnsi="Times New Roman" w:cs="Times New Roman"/>
          <w:sz w:val="24"/>
          <w:szCs w:val="24"/>
        </w:rPr>
      </w:pPr>
    </w:p>
    <w:p w14:paraId="0CF9ACF4" w14:textId="45549AE7" w:rsidR="00BA507B" w:rsidRPr="009A0254" w:rsidRDefault="00BA507B" w:rsidP="00BA507B">
      <w:pPr>
        <w:pBdr>
          <w:bottom w:val="single" w:sz="4" w:space="1" w:color="auto"/>
        </w:pBdr>
        <w:ind w:left="1440" w:hanging="1440"/>
        <w:jc w:val="both"/>
        <w:rPr>
          <w:rFonts w:ascii="Times New Roman" w:hAnsi="Times New Roman" w:cs="Times New Roman"/>
          <w:b/>
          <w:bCs/>
          <w:color w:val="FF0000"/>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Docket No.</w:t>
      </w:r>
      <w:r w:rsidRPr="00911C15">
        <w:rPr>
          <w:rFonts w:ascii="Times New Roman" w:eastAsia="Times New Roman" w:hAnsi="Times New Roman" w:cs="Times New Roman"/>
          <w:bCs/>
          <w:sz w:val="24"/>
          <w:szCs w:val="24"/>
        </w:rPr>
        <w:t xml:space="preserve"> </w:t>
      </w:r>
      <w:r w:rsidR="00911C15" w:rsidRPr="00911C15">
        <w:rPr>
          <w:rFonts w:ascii="Times New Roman" w:eastAsia="Times New Roman" w:hAnsi="Times New Roman" w:cs="Times New Roman"/>
          <w:bCs/>
          <w:sz w:val="24"/>
          <w:szCs w:val="24"/>
        </w:rPr>
        <w:t>52324</w:t>
      </w:r>
      <w:r w:rsidRPr="00911C15">
        <w:rPr>
          <w:bCs/>
          <w:sz w:val="24"/>
          <w:szCs w:val="24"/>
        </w:rPr>
        <w:t xml:space="preserve"> - </w:t>
      </w:r>
      <w:r w:rsidR="00911C15" w:rsidRPr="00911C15">
        <w:rPr>
          <w:rFonts w:ascii="Times New Roman" w:eastAsia="Times New Roman" w:hAnsi="Times New Roman" w:cs="Times New Roman"/>
          <w:bCs/>
          <w:i/>
          <w:sz w:val="24"/>
          <w:szCs w:val="24"/>
        </w:rPr>
        <w:t>Application of Southwest Environmental Resources and Manvel Terrace Utilities, Inc. for Sale, Transfer, or Merger of Facilities and Certificate Rights in Fort Bend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p w14:paraId="23AB875F" w14:textId="56F709F4" w:rsidR="00600CE9" w:rsidRPr="00630EEB" w:rsidRDefault="00600CE9">
      <w:pPr>
        <w:pStyle w:val="BodyText"/>
        <w:spacing w:after="0"/>
        <w:jc w:val="both"/>
        <w:rPr>
          <w:rFonts w:ascii="Times New Roman" w:hAnsi="Times New Roman" w:cs="Times New Roman"/>
        </w:rPr>
      </w:pPr>
    </w:p>
    <w:bookmarkEnd w:id="0"/>
    <w:p w14:paraId="5409AFEF" w14:textId="088FF05C" w:rsidR="00ED7FC3" w:rsidRDefault="00ED7FC3">
      <w:pPr>
        <w:pStyle w:val="BodyText"/>
        <w:spacing w:after="0"/>
        <w:jc w:val="both"/>
        <w:rPr>
          <w:rFonts w:ascii="Times New Roman" w:hAnsi="Times New Roman" w:cs="Times New Roman"/>
        </w:rPr>
      </w:pPr>
      <w:r w:rsidRPr="00ED7FC3">
        <w:rPr>
          <w:rFonts w:ascii="Times New Roman" w:hAnsi="Times New Roman" w:cs="Times New Roman"/>
        </w:rPr>
        <w:t>On July 1</w:t>
      </w:r>
      <w:r w:rsidR="000E4802">
        <w:rPr>
          <w:rFonts w:ascii="Times New Roman" w:hAnsi="Times New Roman" w:cs="Times New Roman"/>
        </w:rPr>
        <w:t>6</w:t>
      </w:r>
      <w:r w:rsidRPr="00ED7FC3">
        <w:rPr>
          <w:rFonts w:ascii="Times New Roman" w:hAnsi="Times New Roman" w:cs="Times New Roman"/>
        </w:rPr>
        <w:t>, 2021, Manvel Terrace Utilities, Inc. (</w:t>
      </w:r>
      <w:bookmarkStart w:id="2" w:name="_Hlk97201112"/>
      <w:r w:rsidRPr="00ED7FC3">
        <w:rPr>
          <w:rFonts w:ascii="Times New Roman" w:hAnsi="Times New Roman" w:cs="Times New Roman"/>
        </w:rPr>
        <w:t>Manvel Terrace</w:t>
      </w:r>
      <w:bookmarkEnd w:id="2"/>
      <w:r w:rsidRPr="00ED7FC3">
        <w:rPr>
          <w:rFonts w:ascii="Times New Roman" w:hAnsi="Times New Roman" w:cs="Times New Roman"/>
        </w:rPr>
        <w:t>) and Southwest Environmental Resources</w:t>
      </w:r>
      <w:r w:rsidR="007F1BCB">
        <w:rPr>
          <w:rFonts w:ascii="Times New Roman" w:hAnsi="Times New Roman" w:cs="Times New Roman"/>
        </w:rPr>
        <w:t xml:space="preserve"> (Southwest Environmen</w:t>
      </w:r>
      <w:r w:rsidR="00A628F0">
        <w:rPr>
          <w:rFonts w:ascii="Times New Roman" w:hAnsi="Times New Roman" w:cs="Times New Roman"/>
        </w:rPr>
        <w:t>t</w:t>
      </w:r>
      <w:r w:rsidR="007F1BCB">
        <w:rPr>
          <w:rFonts w:ascii="Times New Roman" w:hAnsi="Times New Roman" w:cs="Times New Roman"/>
        </w:rPr>
        <w:t>al)</w:t>
      </w:r>
      <w:r w:rsidRPr="00ED7FC3">
        <w:rPr>
          <w:rFonts w:ascii="Times New Roman" w:hAnsi="Times New Roman" w:cs="Times New Roman"/>
        </w:rPr>
        <w:t xml:space="preserve"> filed an application for the sale, transfer, or merger of facilities and certificate rights in Fort Bend County.  </w:t>
      </w:r>
    </w:p>
    <w:p w14:paraId="67E4A411" w14:textId="77777777" w:rsidR="00ED7FC3" w:rsidRDefault="00ED7FC3">
      <w:pPr>
        <w:pStyle w:val="BodyText"/>
        <w:spacing w:after="0"/>
        <w:jc w:val="both"/>
        <w:rPr>
          <w:rFonts w:ascii="Times New Roman" w:hAnsi="Times New Roman" w:cs="Times New Roman"/>
        </w:rPr>
      </w:pPr>
    </w:p>
    <w:p w14:paraId="7A26236E" w14:textId="2D5BC99C"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w:t>
      </w:r>
      <w:r w:rsidR="007C6C05">
        <w:rPr>
          <w:rFonts w:ascii="Times New Roman" w:hAnsi="Times New Roman" w:cs="Times New Roman"/>
        </w:rPr>
        <w:t xml:space="preserve"> a finding</w:t>
      </w:r>
      <w:r>
        <w:rPr>
          <w:rFonts w:ascii="Times New Roman" w:hAnsi="Times New Roman" w:cs="Times New Roman"/>
        </w:rPr>
        <w:t xml:space="preserve"> that </w:t>
      </w:r>
      <w:r w:rsidR="00ED7FC3">
        <w:rPr>
          <w:rFonts w:ascii="Times New Roman" w:hAnsi="Times New Roman" w:cs="Times New Roman"/>
        </w:rPr>
        <w:t>Manvel Terrace</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ED7FC3">
        <w:rPr>
          <w:rFonts w:ascii="Times New Roman" w:hAnsi="Times New Roman" w:cs="Times New Roman"/>
        </w:rPr>
        <w:t>Manvel Terrace</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ED7FC3">
        <w:rPr>
          <w:rFonts w:ascii="Times New Roman" w:hAnsi="Times New Roman" w:cs="Times New Roman"/>
        </w:rPr>
        <w:t>Manvel Terrace</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58FD9609" w14:textId="1AD0C44F"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ED7FC3">
        <w:rPr>
          <w:rFonts w:ascii="Times New Roman" w:eastAsia="Times New Roman" w:hAnsi="Times New Roman" w:cs="Times New Roman"/>
          <w:sz w:val="24"/>
          <w:szCs w:val="24"/>
        </w:rPr>
        <w:t>Manvel Terrace</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BFE020E" w14:textId="0B7BF5FD" w:rsidR="00873A4A" w:rsidRDefault="00873A4A" w:rsidP="00680FB0">
      <w:pPr>
        <w:pStyle w:val="BodyText"/>
        <w:spacing w:after="0"/>
        <w:jc w:val="both"/>
        <w:rPr>
          <w:rFonts w:ascii="Times New Roman" w:eastAsia="Calibri" w:hAnsi="Times New Roman" w:cs="Times New Roman"/>
        </w:rPr>
      </w:pPr>
      <w:r w:rsidRPr="00873A4A">
        <w:rPr>
          <w:rFonts w:ascii="Times New Roman" w:eastAsia="Calibri" w:hAnsi="Times New Roman" w:cs="Times New Roman"/>
        </w:rPr>
        <w:t>My analysis is based</w:t>
      </w:r>
      <w:r>
        <w:rPr>
          <w:rFonts w:ascii="Times New Roman" w:eastAsia="Calibri" w:hAnsi="Times New Roman" w:cs="Times New Roman"/>
        </w:rPr>
        <w:t xml:space="preserve"> on </w:t>
      </w:r>
      <w:r w:rsidRPr="00873A4A">
        <w:rPr>
          <w:rFonts w:ascii="Times New Roman" w:eastAsia="Calibri" w:hAnsi="Times New Roman" w:cs="Times New Roman"/>
        </w:rPr>
        <w:t>Manvel Terrace’</w:t>
      </w:r>
      <w:r>
        <w:rPr>
          <w:rFonts w:ascii="Times New Roman" w:eastAsia="Calibri" w:hAnsi="Times New Roman" w:cs="Times New Roman"/>
        </w:rPr>
        <w:t>s</w:t>
      </w:r>
      <w:r w:rsidRPr="00873A4A">
        <w:rPr>
          <w:rFonts w:ascii="Times New Roman" w:eastAsia="Calibri" w:hAnsi="Times New Roman" w:cs="Times New Roman"/>
        </w:rPr>
        <w:t xml:space="preserve"> affiliate, </w:t>
      </w:r>
      <w:r>
        <w:rPr>
          <w:rFonts w:ascii="Times New Roman" w:eastAsia="Calibri" w:hAnsi="Times New Roman" w:cs="Times New Roman"/>
        </w:rPr>
        <w:t>Flow-Tech Utility LLC</w:t>
      </w:r>
      <w:r w:rsidRPr="00873A4A">
        <w:rPr>
          <w:rFonts w:ascii="Times New Roman" w:eastAsia="Calibri" w:hAnsi="Times New Roman" w:cs="Times New Roman"/>
        </w:rPr>
        <w:t>’</w:t>
      </w:r>
      <w:r>
        <w:rPr>
          <w:rFonts w:ascii="Times New Roman" w:eastAsia="Calibri" w:hAnsi="Times New Roman" w:cs="Times New Roman"/>
        </w:rPr>
        <w:t>s</w:t>
      </w:r>
      <w:r w:rsidRPr="00873A4A">
        <w:rPr>
          <w:rFonts w:ascii="Times New Roman" w:eastAsia="Calibri" w:hAnsi="Times New Roman" w:cs="Times New Roman"/>
        </w:rPr>
        <w:t xml:space="preserve"> (</w:t>
      </w:r>
      <w:r>
        <w:rPr>
          <w:rFonts w:ascii="Times New Roman" w:eastAsia="Calibri" w:hAnsi="Times New Roman" w:cs="Times New Roman"/>
        </w:rPr>
        <w:t>Flow-Tech</w:t>
      </w:r>
      <w:r w:rsidRPr="00873A4A">
        <w:rPr>
          <w:rFonts w:ascii="Times New Roman" w:eastAsia="Calibri" w:hAnsi="Times New Roman" w:cs="Times New Roman"/>
        </w:rPr>
        <w:t>) financial statements ending December 31, 2020.</w:t>
      </w:r>
      <w:r>
        <w:rPr>
          <w:rFonts w:ascii="Times New Roman" w:eastAsia="Calibri" w:hAnsi="Times New Roman" w:cs="Times New Roman"/>
        </w:rPr>
        <w:t xml:space="preserve">  Flow-Tech</w:t>
      </w:r>
      <w:r w:rsidRPr="00873A4A">
        <w:rPr>
          <w:rFonts w:ascii="Times New Roman" w:eastAsia="Calibri" w:hAnsi="Times New Roman" w:cs="Times New Roman"/>
        </w:rPr>
        <w:t>’s financial statements, provided in confidential Attachment FB-1, report a debt-to-equity ratio of 0.</w:t>
      </w:r>
      <w:r w:rsidR="007F1BCB">
        <w:rPr>
          <w:rFonts w:ascii="Times New Roman" w:eastAsia="Calibri" w:hAnsi="Times New Roman" w:cs="Times New Roman"/>
        </w:rPr>
        <w:t>00</w:t>
      </w:r>
      <w:r w:rsidRPr="00873A4A">
        <w:rPr>
          <w:rFonts w:ascii="Times New Roman" w:eastAsia="Calibri" w:hAnsi="Times New Roman" w:cs="Times New Roman"/>
        </w:rPr>
        <w:t xml:space="preserve">.  Because the ratio is less than 1.0, </w:t>
      </w:r>
      <w:r w:rsidR="007F1BCB">
        <w:rPr>
          <w:rFonts w:ascii="Times New Roman" w:eastAsia="Calibri" w:hAnsi="Times New Roman" w:cs="Times New Roman"/>
        </w:rPr>
        <w:t>Flow-Tech</w:t>
      </w:r>
      <w:r w:rsidRPr="00873A4A">
        <w:rPr>
          <w:rFonts w:ascii="Times New Roman" w:eastAsia="Calibri" w:hAnsi="Times New Roman" w:cs="Times New Roman"/>
        </w:rPr>
        <w:t xml:space="preserve"> meets the test specified in 16 TAC § 24.11(e)(2)(A).</w:t>
      </w:r>
      <w:r w:rsidR="007F1BCB">
        <w:rPr>
          <w:rFonts w:ascii="Times New Roman" w:eastAsia="Calibri" w:hAnsi="Times New Roman" w:cs="Times New Roman"/>
        </w:rPr>
        <w:t xml:space="preserve">  Flow-Tech</w:t>
      </w:r>
      <w:r w:rsidRPr="00873A4A">
        <w:rPr>
          <w:rFonts w:ascii="Times New Roman" w:eastAsia="Calibri" w:hAnsi="Times New Roman" w:cs="Times New Roman"/>
        </w:rPr>
        <w:t xml:space="preserve"> is also capable, available, and willing to cover temporary cash shortages.  Therefore, through its affiliate, </w:t>
      </w:r>
      <w:r w:rsidR="007F1BCB">
        <w:rPr>
          <w:rFonts w:ascii="Times New Roman" w:eastAsia="Calibri" w:hAnsi="Times New Roman" w:cs="Times New Roman"/>
        </w:rPr>
        <w:t>Manvel Terrace</w:t>
      </w:r>
      <w:r w:rsidRPr="00873A4A">
        <w:rPr>
          <w:rFonts w:ascii="Times New Roman" w:eastAsia="Calibri" w:hAnsi="Times New Roman" w:cs="Times New Roman"/>
        </w:rPr>
        <w:t xml:space="preserve"> meets the leverage test specified in 16 TAC § 24.11(e)(2)(E).  </w:t>
      </w:r>
    </w:p>
    <w:p w14:paraId="583B2E81" w14:textId="77777777" w:rsidR="007F1BCB" w:rsidRDefault="007F1BCB">
      <w:pPr>
        <w:jc w:val="both"/>
        <w:rPr>
          <w:rFonts w:ascii="Times New Roman" w:eastAsia="Calibri" w:hAnsi="Times New Roman" w:cs="Times New Roman"/>
          <w:i/>
          <w:iCs/>
          <w:sz w:val="24"/>
          <w:szCs w:val="24"/>
          <w:u w:val="single"/>
        </w:rPr>
      </w:pPr>
    </w:p>
    <w:p w14:paraId="15AA92D9" w14:textId="1391B78C"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07F109DB"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4513D86C" w14:textId="2562741D" w:rsidR="007F1BCB" w:rsidRDefault="007F1BCB">
      <w:pPr>
        <w:jc w:val="both"/>
        <w:rPr>
          <w:rFonts w:ascii="Times New Roman" w:eastAsia="Calibri" w:hAnsi="Times New Roman" w:cs="Times New Roman"/>
          <w:sz w:val="24"/>
          <w:szCs w:val="24"/>
        </w:rPr>
      </w:pPr>
    </w:p>
    <w:p w14:paraId="4D0D3DF2" w14:textId="79A0A0DA" w:rsidR="007F1BCB" w:rsidRDefault="007F1BCB">
      <w:pPr>
        <w:jc w:val="both"/>
        <w:rPr>
          <w:rFonts w:ascii="Times New Roman" w:eastAsia="Calibri" w:hAnsi="Times New Roman" w:cs="Times New Roman"/>
          <w:sz w:val="24"/>
          <w:szCs w:val="24"/>
        </w:rPr>
      </w:pPr>
      <w:r>
        <w:rPr>
          <w:rFonts w:ascii="Times New Roman" w:eastAsia="Calibri" w:hAnsi="Times New Roman" w:cs="Times New Roman"/>
          <w:sz w:val="24"/>
          <w:szCs w:val="24"/>
        </w:rPr>
        <w:t>Manvel Terrace</w:t>
      </w:r>
      <w:r w:rsidRPr="007F1BCB">
        <w:rPr>
          <w:rFonts w:ascii="Times New Roman" w:eastAsia="Calibri" w:hAnsi="Times New Roman" w:cs="Times New Roman"/>
          <w:sz w:val="24"/>
          <w:szCs w:val="24"/>
        </w:rPr>
        <w:t>’</w:t>
      </w:r>
      <w:r>
        <w:rPr>
          <w:rFonts w:ascii="Times New Roman" w:eastAsia="Calibri" w:hAnsi="Times New Roman" w:cs="Times New Roman"/>
          <w:sz w:val="24"/>
          <w:szCs w:val="24"/>
        </w:rPr>
        <w:t>s</w:t>
      </w:r>
      <w:r w:rsidRPr="007F1BCB">
        <w:rPr>
          <w:rFonts w:ascii="Times New Roman" w:eastAsia="Calibri" w:hAnsi="Times New Roman" w:cs="Times New Roman"/>
          <w:sz w:val="24"/>
          <w:szCs w:val="24"/>
        </w:rPr>
        <w:t xml:space="preserve"> financial projections, as provided in confidential Attachment FB-1, show that there are</w:t>
      </w:r>
      <w:r>
        <w:rPr>
          <w:rFonts w:ascii="Times New Roman" w:eastAsia="Calibri" w:hAnsi="Times New Roman" w:cs="Times New Roman"/>
          <w:sz w:val="24"/>
          <w:szCs w:val="24"/>
        </w:rPr>
        <w:t xml:space="preserve"> no</w:t>
      </w:r>
      <w:r w:rsidRPr="007F1BCB">
        <w:rPr>
          <w:rFonts w:ascii="Times New Roman" w:eastAsia="Calibri" w:hAnsi="Times New Roman" w:cs="Times New Roman"/>
          <w:sz w:val="24"/>
          <w:szCs w:val="24"/>
        </w:rPr>
        <w:t xml:space="preserve"> projected shortages to cover.  </w:t>
      </w:r>
      <w:r w:rsidR="001963B0">
        <w:rPr>
          <w:rFonts w:ascii="Times New Roman" w:eastAsia="Calibri" w:hAnsi="Times New Roman" w:cs="Times New Roman"/>
          <w:sz w:val="24"/>
          <w:szCs w:val="24"/>
        </w:rPr>
        <w:t>C</w:t>
      </w:r>
      <w:r w:rsidR="001963B0" w:rsidRPr="001963B0">
        <w:rPr>
          <w:rFonts w:ascii="Times New Roman" w:eastAsia="Calibri" w:hAnsi="Times New Roman" w:cs="Times New Roman"/>
          <w:sz w:val="24"/>
          <w:szCs w:val="24"/>
        </w:rPr>
        <w:t>apital improvements needed to provide continuous and adequate service to the requested area</w:t>
      </w:r>
      <w:r w:rsidR="001963B0">
        <w:rPr>
          <w:rFonts w:ascii="Times New Roman" w:eastAsia="Calibri" w:hAnsi="Times New Roman" w:cs="Times New Roman"/>
          <w:sz w:val="24"/>
          <w:szCs w:val="24"/>
        </w:rPr>
        <w:t xml:space="preserve"> will be paid for with Flow-Tech</w:t>
      </w:r>
      <w:r w:rsidRPr="007F1BCB">
        <w:rPr>
          <w:rFonts w:ascii="Times New Roman" w:eastAsia="Calibri" w:hAnsi="Times New Roman" w:cs="Times New Roman"/>
          <w:sz w:val="24"/>
          <w:szCs w:val="24"/>
        </w:rPr>
        <w:t xml:space="preserve">’s cash </w:t>
      </w:r>
      <w:r w:rsidR="001963B0">
        <w:rPr>
          <w:rFonts w:ascii="Times New Roman" w:eastAsia="Calibri" w:hAnsi="Times New Roman" w:cs="Times New Roman"/>
          <w:sz w:val="24"/>
          <w:szCs w:val="24"/>
        </w:rPr>
        <w:t>reserves and net operating income as</w:t>
      </w:r>
      <w:r w:rsidRPr="007F1BCB">
        <w:rPr>
          <w:rFonts w:ascii="Times New Roman" w:eastAsia="Calibri" w:hAnsi="Times New Roman" w:cs="Times New Roman"/>
          <w:sz w:val="24"/>
          <w:szCs w:val="24"/>
        </w:rPr>
        <w:t xml:space="preserve"> provided in confidential Attachment FB-1</w:t>
      </w:r>
      <w:r w:rsidR="001963B0">
        <w:rPr>
          <w:rFonts w:ascii="Times New Roman" w:eastAsia="Calibri" w:hAnsi="Times New Roman" w:cs="Times New Roman"/>
          <w:sz w:val="24"/>
          <w:szCs w:val="24"/>
        </w:rPr>
        <w:t xml:space="preserve">.  </w:t>
      </w:r>
      <w:r w:rsidRPr="007F1BCB">
        <w:rPr>
          <w:rFonts w:ascii="Times New Roman" w:eastAsia="Calibri" w:hAnsi="Times New Roman" w:cs="Times New Roman"/>
          <w:sz w:val="24"/>
          <w:szCs w:val="24"/>
        </w:rPr>
        <w:t xml:space="preserve">Additionally, </w:t>
      </w:r>
      <w:r>
        <w:rPr>
          <w:rFonts w:ascii="Times New Roman" w:eastAsia="Calibri" w:hAnsi="Times New Roman" w:cs="Times New Roman"/>
          <w:sz w:val="24"/>
          <w:szCs w:val="24"/>
        </w:rPr>
        <w:t>Manvel Terrace</w:t>
      </w:r>
      <w:r w:rsidRPr="007F1BCB">
        <w:rPr>
          <w:rFonts w:ascii="Times New Roman" w:eastAsia="Calibri" w:hAnsi="Times New Roman" w:cs="Times New Roman"/>
          <w:sz w:val="24"/>
          <w:szCs w:val="24"/>
        </w:rPr>
        <w:t xml:space="preserve"> provided an affidavit indicating </w:t>
      </w:r>
      <w:r>
        <w:rPr>
          <w:rFonts w:ascii="Times New Roman" w:eastAsia="Calibri" w:hAnsi="Times New Roman" w:cs="Times New Roman"/>
          <w:sz w:val="24"/>
          <w:szCs w:val="24"/>
        </w:rPr>
        <w:t>Flow-Tech</w:t>
      </w:r>
      <w:r w:rsidRPr="007F1BCB">
        <w:rPr>
          <w:rFonts w:ascii="Times New Roman" w:eastAsia="Calibri" w:hAnsi="Times New Roman" w:cs="Times New Roman"/>
          <w:sz w:val="24"/>
          <w:szCs w:val="24"/>
        </w:rPr>
        <w:t xml:space="preserve">’s commitment to providing funds necessary for cash required to purchase </w:t>
      </w:r>
      <w:r>
        <w:rPr>
          <w:rFonts w:ascii="Times New Roman" w:eastAsia="Calibri" w:hAnsi="Times New Roman" w:cs="Times New Roman"/>
          <w:sz w:val="24"/>
          <w:szCs w:val="24"/>
        </w:rPr>
        <w:t>Southwest Environmental and make necessary capital improvements</w:t>
      </w:r>
      <w:r w:rsidRPr="007F1BCB">
        <w:rPr>
          <w:rFonts w:ascii="Times New Roman" w:eastAsia="Calibri" w:hAnsi="Times New Roman" w:cs="Times New Roman"/>
          <w:sz w:val="24"/>
          <w:szCs w:val="24"/>
        </w:rPr>
        <w:t xml:space="preserve">.  Sufficient cash and net operating income available to cover possible future shortages provide an indication of financial stability and financial and managerial capability.  Therefore, </w:t>
      </w:r>
      <w:r w:rsidR="00B76E48">
        <w:rPr>
          <w:rFonts w:ascii="Times New Roman" w:eastAsia="Calibri" w:hAnsi="Times New Roman" w:cs="Times New Roman"/>
          <w:sz w:val="24"/>
          <w:szCs w:val="24"/>
        </w:rPr>
        <w:t>Manvel Terrace</w:t>
      </w:r>
      <w:r w:rsidRPr="007F1BCB">
        <w:rPr>
          <w:rFonts w:ascii="Times New Roman" w:eastAsia="Calibri" w:hAnsi="Times New Roman" w:cs="Times New Roman"/>
          <w:sz w:val="24"/>
          <w:szCs w:val="24"/>
        </w:rPr>
        <w:t xml:space="preserve"> meets the operations test specified in 16 TAC § 24.11(e)(3).</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57BD292D"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ED7FC3">
        <w:rPr>
          <w:rFonts w:ascii="Times New Roman" w:hAnsi="Times New Roman" w:cs="Times New Roman"/>
          <w:sz w:val="24"/>
          <w:szCs w:val="24"/>
        </w:rPr>
        <w:t>Manvel Terrace</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906BD" w14:textId="77777777" w:rsidR="00BE200F" w:rsidRDefault="00BE200F" w:rsidP="00FC14B8">
      <w:r>
        <w:separator/>
      </w:r>
    </w:p>
  </w:endnote>
  <w:endnote w:type="continuationSeparator" w:id="0">
    <w:p w14:paraId="41341493" w14:textId="77777777" w:rsidR="00BE200F" w:rsidRDefault="00BE200F"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E063" w14:textId="77777777" w:rsidR="00BE200F" w:rsidRDefault="00BE200F" w:rsidP="00FC14B8">
      <w:r>
        <w:separator/>
      </w:r>
    </w:p>
  </w:footnote>
  <w:footnote w:type="continuationSeparator" w:id="0">
    <w:p w14:paraId="031A5A67" w14:textId="77777777" w:rsidR="00BE200F" w:rsidRDefault="00BE200F"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34EA176E"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05295B">
      <w:rPr>
        <w:rFonts w:ascii="Times New Roman" w:hAnsi="Times New Roman" w:cs="Times New Roman"/>
        <w:sz w:val="20"/>
        <w:szCs w:val="20"/>
      </w:rPr>
      <w:t xml:space="preserve">Docket No. </w:t>
    </w:r>
    <w:r w:rsidR="0005295B" w:rsidRPr="0005295B">
      <w:rPr>
        <w:rFonts w:ascii="Times New Roman" w:hAnsi="Times New Roman" w:cs="Times New Roman"/>
        <w:sz w:val="20"/>
        <w:szCs w:val="20"/>
      </w:rPr>
      <w:t>52324</w:t>
    </w:r>
    <w:r w:rsidRPr="0005295B">
      <w:rPr>
        <w:rFonts w:ascii="Times New Roman" w:hAnsi="Times New Roman" w:cs="Times New Roman"/>
        <w:sz w:val="20"/>
        <w:szCs w:val="20"/>
      </w:rPr>
      <w:tab/>
      <w:t xml:space="preserve">Memorandum of </w:t>
    </w:r>
    <w:r w:rsidR="0005295B" w:rsidRPr="0005295B">
      <w:rPr>
        <w:rFonts w:ascii="Times New Roman" w:hAnsi="Times New Roman" w:cs="Times New Roman"/>
        <w:sz w:val="20"/>
        <w:szCs w:val="20"/>
      </w:rPr>
      <w:t>Fred Bednarski III</w:t>
    </w:r>
    <w:r w:rsidRPr="0005295B">
      <w:rPr>
        <w:rFonts w:ascii="Times New Roman" w:hAnsi="Times New Roman" w:cs="Times New Roman"/>
        <w:sz w:val="20"/>
        <w:szCs w:val="20"/>
      </w:rPr>
      <w:t xml:space="preserve"> (</w:t>
    </w:r>
    <w:r w:rsidR="007F1BCB">
      <w:rPr>
        <w:rFonts w:ascii="Times New Roman" w:hAnsi="Times New Roman" w:cs="Times New Roman"/>
        <w:sz w:val="20"/>
        <w:szCs w:val="20"/>
      </w:rPr>
      <w:t>March</w:t>
    </w:r>
    <w:r w:rsidRPr="0005295B">
      <w:rPr>
        <w:rFonts w:ascii="Times New Roman" w:hAnsi="Times New Roman" w:cs="Times New Roman"/>
        <w:sz w:val="20"/>
        <w:szCs w:val="20"/>
      </w:rPr>
      <w:t xml:space="preserve"> </w:t>
    </w:r>
    <w:r w:rsidR="0005295B" w:rsidRPr="0005295B">
      <w:rPr>
        <w:rFonts w:ascii="Times New Roman" w:hAnsi="Times New Roman" w:cs="Times New Roman"/>
        <w:sz w:val="20"/>
        <w:szCs w:val="20"/>
      </w:rPr>
      <w:t>1</w:t>
    </w:r>
    <w:r w:rsidR="007F1BCB">
      <w:rPr>
        <w:rFonts w:ascii="Times New Roman" w:hAnsi="Times New Roman" w:cs="Times New Roman"/>
        <w:sz w:val="20"/>
        <w:szCs w:val="20"/>
      </w:rPr>
      <w:t>6</w:t>
    </w:r>
    <w:r w:rsidRPr="0005295B">
      <w:rPr>
        <w:rFonts w:ascii="Times New Roman" w:hAnsi="Times New Roman" w:cs="Times New Roman"/>
        <w:sz w:val="20"/>
        <w:szCs w:val="20"/>
      </w:rPr>
      <w:t xml:space="preserve">, </w:t>
    </w:r>
    <w:r w:rsidR="0005295B" w:rsidRPr="0005295B">
      <w:rPr>
        <w:rFonts w:ascii="Times New Roman" w:hAnsi="Times New Roman" w:cs="Times New Roman"/>
        <w:sz w:val="20"/>
        <w:szCs w:val="20"/>
      </w:rPr>
      <w:t>2022</w:t>
    </w:r>
    <w:r w:rsidRPr="0005295B">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05295B">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6"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6"/>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95B"/>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E4802"/>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963B0"/>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6D85"/>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5296"/>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3726C"/>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2C2F"/>
    <w:rsid w:val="007554A6"/>
    <w:rsid w:val="0075745D"/>
    <w:rsid w:val="007657FC"/>
    <w:rsid w:val="0077034A"/>
    <w:rsid w:val="00792AFE"/>
    <w:rsid w:val="00795F5C"/>
    <w:rsid w:val="00795FA7"/>
    <w:rsid w:val="007A4BB7"/>
    <w:rsid w:val="007A510F"/>
    <w:rsid w:val="007A6E43"/>
    <w:rsid w:val="007C6C05"/>
    <w:rsid w:val="007D2DF2"/>
    <w:rsid w:val="007D64F3"/>
    <w:rsid w:val="007E7C0B"/>
    <w:rsid w:val="007F1BCB"/>
    <w:rsid w:val="007F1D92"/>
    <w:rsid w:val="0081460B"/>
    <w:rsid w:val="00817299"/>
    <w:rsid w:val="0081750E"/>
    <w:rsid w:val="00820E5C"/>
    <w:rsid w:val="0082173B"/>
    <w:rsid w:val="00850760"/>
    <w:rsid w:val="00873A4A"/>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1C15"/>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628F0"/>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76E48"/>
    <w:rsid w:val="00B83632"/>
    <w:rsid w:val="00B85739"/>
    <w:rsid w:val="00B87835"/>
    <w:rsid w:val="00BA341C"/>
    <w:rsid w:val="00BA507B"/>
    <w:rsid w:val="00BA58C3"/>
    <w:rsid w:val="00BC29F9"/>
    <w:rsid w:val="00BD259A"/>
    <w:rsid w:val="00BE200F"/>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D4720"/>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D7FC3"/>
    <w:rsid w:val="00EF11FD"/>
    <w:rsid w:val="00EF2409"/>
    <w:rsid w:val="00EF6A56"/>
    <w:rsid w:val="00EF6B32"/>
    <w:rsid w:val="00F230F8"/>
    <w:rsid w:val="00F2401D"/>
    <w:rsid w:val="00F32D00"/>
    <w:rsid w:val="00F369F6"/>
    <w:rsid w:val="00F52CB4"/>
    <w:rsid w:val="00F53004"/>
    <w:rsid w:val="00F53AE0"/>
    <w:rsid w:val="00F545AB"/>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2.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4.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0</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Mildred Anaele</cp:lastModifiedBy>
  <cp:revision>2</cp:revision>
  <cp:lastPrinted>2016-02-19T15:01:00Z</cp:lastPrinted>
  <dcterms:created xsi:type="dcterms:W3CDTF">2022-03-15T17:46:00Z</dcterms:created>
  <dcterms:modified xsi:type="dcterms:W3CDTF">2022-03-15T17:46:00Z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